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172A"/>
          <w:sz w:val="40"/>
        </w:rPr>
        <w:t>HVAC MAINTENANCE AGREEMENT</w:t>
      </w:r>
    </w:p>
    <w:p>
      <w:pPr>
        <w:spacing w:after="60"/>
      </w:pPr>
      <w:r>
        <w:rPr>
          <w:b w:val="0"/>
          <w:sz w:val="20"/>
        </w:rPr>
        <w:t>Agreement No.: [AGR-1001]     Start date: [Date]     End date: [Date]</w:t>
      </w:r>
    </w:p>
    <w:p>
      <w:pPr>
        <w:spacing w:before="200" w:after="80"/>
      </w:pPr>
      <w:r>
        <w:rPr>
          <w:b/>
          <w:color w:val="0F172A"/>
          <w:sz w:val="24"/>
        </w:rPr>
        <w:t>1. Parties</w:t>
      </w:r>
    </w:p>
    <w:tbl>
      <w:tblPr>
        <w:tblStyle w:val="TableGrid"/>
        <w:tblW w:type="auto" w:w="0"/>
        <w:tblLook w:firstColumn="1" w:firstRow="1" w:lastColumn="0" w:lastRow="0" w:noHBand="0" w:noVBand="1" w:val="04A0"/>
      </w:tblPr>
      <w:tblGrid>
        <w:gridCol w:w="4968"/>
        <w:gridCol w:w="4968"/>
      </w:tblGrid>
      <w:tr>
        <w:tc>
          <w:tcPr>
            <w:tcW w:type="dxa" w:w="4968"/>
            <w:shd w:val="clear" w:color="auto" w:fill="0F172A"/>
          </w:tcPr>
          <w:p>
            <w:r/>
            <w:r>
              <w:rPr>
                <w:b/>
                <w:color w:val="FFFFFF"/>
                <w:sz w:val="18"/>
              </w:rPr>
              <w:t>Contractor</w:t>
            </w:r>
          </w:p>
        </w:tc>
        <w:tc>
          <w:tcPr>
            <w:tcW w:type="dxa" w:w="4968"/>
            <w:shd w:val="clear" w:color="auto" w:fill="0F172A"/>
          </w:tcPr>
          <w:p>
            <w:r/>
            <w:r>
              <w:rPr>
                <w:b/>
                <w:color w:val="FFFFFF"/>
                <w:sz w:val="18"/>
              </w:rPr>
              <w:t>Customer</w:t>
            </w:r>
          </w:p>
        </w:tc>
      </w:tr>
      <w:tr>
        <w:tc>
          <w:tcPr>
            <w:tcW w:type="dxa" w:w="4968"/>
          </w:tcPr>
          <w:p>
            <w:r/>
            <w:r>
              <w:rPr>
                <w:sz w:val="18"/>
              </w:rPr>
              <w:t>[Business name]</w:t>
            </w:r>
          </w:p>
        </w:tc>
        <w:tc>
          <w:tcPr>
            <w:tcW w:type="dxa" w:w="4968"/>
          </w:tcPr>
          <w:p>
            <w:r/>
            <w:r>
              <w:rPr>
                <w:sz w:val="18"/>
              </w:rPr>
              <w:t>[Customer name]</w:t>
            </w:r>
          </w:p>
        </w:tc>
      </w:tr>
      <w:tr>
        <w:tc>
          <w:tcPr>
            <w:tcW w:type="dxa" w:w="4968"/>
          </w:tcPr>
          <w:p>
            <w:r/>
            <w:r>
              <w:rPr>
                <w:sz w:val="18"/>
              </w:rPr>
              <w:t>[Address]</w:t>
            </w:r>
          </w:p>
        </w:tc>
        <w:tc>
          <w:tcPr>
            <w:tcW w:type="dxa" w:w="4968"/>
          </w:tcPr>
          <w:p>
            <w:r/>
            <w:r>
              <w:rPr>
                <w:sz w:val="18"/>
              </w:rPr>
              <w:t>[Billing address]</w:t>
            </w:r>
          </w:p>
        </w:tc>
      </w:tr>
      <w:tr>
        <w:tc>
          <w:tcPr>
            <w:tcW w:type="dxa" w:w="4968"/>
          </w:tcPr>
          <w:p>
            <w:r/>
            <w:r>
              <w:rPr>
                <w:sz w:val="18"/>
              </w:rPr>
              <w:t>[Phone] · [Email]</w:t>
            </w:r>
          </w:p>
        </w:tc>
        <w:tc>
          <w:tcPr>
            <w:tcW w:type="dxa" w:w="4968"/>
          </w:tcPr>
          <w:p>
            <w:r/>
            <w:r>
              <w:rPr>
                <w:sz w:val="18"/>
              </w:rPr>
              <w:t>[Phone] · [Email]</w:t>
            </w:r>
          </w:p>
        </w:tc>
      </w:tr>
      <w:tr>
        <w:tc>
          <w:tcPr>
            <w:tcW w:type="dxa" w:w="4968"/>
          </w:tcPr>
          <w:p>
            <w:r/>
            <w:r>
              <w:rPr>
                <w:sz w:val="18"/>
              </w:rPr>
              <w:t>License no.: [Number]</w:t>
            </w:r>
          </w:p>
        </w:tc>
        <w:tc>
          <w:tcPr>
            <w:tcW w:type="dxa" w:w="4968"/>
          </w:tcPr>
          <w:p>
            <w:r/>
            <w:r>
              <w:rPr>
                <w:sz w:val="18"/>
              </w:rPr>
              <w:t>Service address (if different): [Address]</w:t>
            </w:r>
          </w:p>
        </w:tc>
      </w:tr>
    </w:tbl>
    <w:p>
      <w:pPr>
        <w:spacing w:before="200" w:after="80"/>
      </w:pPr>
      <w:r>
        <w:rPr>
          <w:b/>
          <w:color w:val="0F172A"/>
          <w:sz w:val="24"/>
        </w:rPr>
        <w:t>2. Term and renewal</w:t>
      </w:r>
    </w:p>
    <w:p>
      <w:pPr>
        <w:spacing w:after="60"/>
      </w:pPr>
      <w:r>
        <w:rPr>
          <w:b w:val="0"/>
          <w:sz w:val="20"/>
        </w:rPr>
        <w:t>This agreement runs for 12 months from the start date. [Choose one:] It renews automatically for another 12 months unless either party gives [30] days’ written notice before the end date / It ends on the end date unless both parties sign a renewal.</w:t>
      </w:r>
    </w:p>
    <w:p>
      <w:pPr>
        <w:spacing w:before="200" w:after="80"/>
      </w:pPr>
      <w:r>
        <w:rPr>
          <w:b/>
          <w:color w:val="0F172A"/>
          <w:sz w:val="24"/>
        </w:rPr>
        <w:t>3. Covered equipment</w:t>
      </w:r>
    </w:p>
    <w:tbl>
      <w:tblPr>
        <w:tblStyle w:val="TableGrid"/>
        <w:tblW w:type="auto" w:w="0"/>
        <w:tblLook w:firstColumn="1" w:firstRow="1" w:lastColumn="0" w:lastRow="0" w:noHBand="0" w:noVBand="1" w:val="04A0"/>
      </w:tblPr>
      <w:tblGrid>
        <w:gridCol w:w="1656"/>
        <w:gridCol w:w="1656"/>
        <w:gridCol w:w="1656"/>
        <w:gridCol w:w="1656"/>
        <w:gridCol w:w="1656"/>
        <w:gridCol w:w="1656"/>
      </w:tblGrid>
      <w:tr>
        <w:tc>
          <w:tcPr>
            <w:tcW w:type="dxa" w:w="1656"/>
            <w:shd w:val="clear" w:color="auto" w:fill="0F172A"/>
          </w:tcPr>
          <w:p>
            <w:r/>
            <w:r>
              <w:rPr>
                <w:b/>
                <w:color w:val="FFFFFF"/>
                <w:sz w:val="18"/>
              </w:rPr>
              <w:t>Equipment type</w:t>
            </w:r>
          </w:p>
        </w:tc>
        <w:tc>
          <w:tcPr>
            <w:tcW w:type="dxa" w:w="1656"/>
            <w:shd w:val="clear" w:color="auto" w:fill="0F172A"/>
          </w:tcPr>
          <w:p>
            <w:r/>
            <w:r>
              <w:rPr>
                <w:b/>
                <w:color w:val="FFFFFF"/>
                <w:sz w:val="18"/>
              </w:rPr>
              <w:t>Make</w:t>
            </w:r>
          </w:p>
        </w:tc>
        <w:tc>
          <w:tcPr>
            <w:tcW w:type="dxa" w:w="1656"/>
            <w:shd w:val="clear" w:color="auto" w:fill="0F172A"/>
          </w:tcPr>
          <w:p>
            <w:r/>
            <w:r>
              <w:rPr>
                <w:b/>
                <w:color w:val="FFFFFF"/>
                <w:sz w:val="18"/>
              </w:rPr>
              <w:t>Model</w:t>
            </w:r>
          </w:p>
        </w:tc>
        <w:tc>
          <w:tcPr>
            <w:tcW w:type="dxa" w:w="1656"/>
            <w:shd w:val="clear" w:color="auto" w:fill="0F172A"/>
          </w:tcPr>
          <w:p>
            <w:r/>
            <w:r>
              <w:rPr>
                <w:b/>
                <w:color w:val="FFFFFF"/>
                <w:sz w:val="18"/>
              </w:rPr>
              <w:t>Serial no.</w:t>
            </w:r>
          </w:p>
        </w:tc>
        <w:tc>
          <w:tcPr>
            <w:tcW w:type="dxa" w:w="1656"/>
            <w:shd w:val="clear" w:color="auto" w:fill="0F172A"/>
          </w:tcPr>
          <w:p>
            <w:r/>
            <w:r>
              <w:rPr>
                <w:b/>
                <w:color w:val="FFFFFF"/>
                <w:sz w:val="18"/>
              </w:rPr>
              <w:t>Install year</w:t>
            </w:r>
          </w:p>
        </w:tc>
        <w:tc>
          <w:tcPr>
            <w:tcW w:type="dxa" w:w="1656"/>
            <w:shd w:val="clear" w:color="auto" w:fill="0F172A"/>
          </w:tcPr>
          <w:p>
            <w:r/>
            <w:r>
              <w:rPr>
                <w:b/>
                <w:color w:val="FFFFFF"/>
                <w:sz w:val="18"/>
              </w:rPr>
              <w:t>Location</w:t>
            </w:r>
          </w:p>
        </w:tc>
      </w:tr>
      <w:tr>
        <w:tc>
          <w:tcPr>
            <w:tcW w:type="dxa" w:w="1656"/>
          </w:tcPr>
          <w:p>
            <w:r/>
            <w:r>
              <w:rPr>
                <w:sz w:val="18"/>
              </w:rPr>
              <w:t>[e.g. Air conditioner]</w:t>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r>
      <w:tr>
        <w:tc>
          <w:tcPr>
            <w:tcW w:type="dxa" w:w="1656"/>
          </w:tcPr>
          <w:p>
            <w:r/>
            <w:r>
              <w:rPr>
                <w:sz w:val="18"/>
              </w:rPr>
              <w:t>[e.g. Gas furnace]</w:t>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r>
      <w:tr>
        <w:tc>
          <w:tcPr>
            <w:tcW w:type="dxa" w:w="1656"/>
          </w:tcPr>
          <w:p>
            <w:r/>
            <w:r>
              <w:rPr>
                <w:sz w:val="18"/>
              </w:rPr>
              <w:t>[e.g. Heat pump]</w:t>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r>
      <w:tr>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c>
          <w:tcPr>
            <w:tcW w:type="dxa" w:w="1656"/>
          </w:tcPr>
          <w:p>
            <w:r/>
            <w:r>
              <w:rPr>
                <w:sz w:val="18"/>
              </w:rPr>
            </w:r>
          </w:p>
        </w:tc>
      </w:tr>
    </w:tbl>
    <w:p>
      <w:pPr>
        <w:spacing w:before="200" w:after="80"/>
      </w:pPr>
      <w:r>
        <w:rPr>
          <w:b/>
          <w:color w:val="0F172A"/>
          <w:sz w:val="24"/>
        </w:rPr>
        <w:t>4. Services included</w:t>
      </w:r>
    </w:p>
    <w:p>
      <w:pPr>
        <w:spacing w:after="60"/>
      </w:pPr>
      <w:r>
        <w:rPr>
          <w:b/>
          <w:sz w:val="20"/>
        </w:rPr>
        <w:t>[Number, e.g. 2] scheduled maintenance visits per term:</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0F172A"/>
          </w:tcPr>
          <w:p>
            <w:r/>
            <w:r>
              <w:rPr>
                <w:b/>
                <w:color w:val="FFFFFF"/>
                <w:sz w:val="18"/>
              </w:rPr>
              <w:t>Visit</w:t>
            </w:r>
          </w:p>
        </w:tc>
        <w:tc>
          <w:tcPr>
            <w:tcW w:type="dxa" w:w="3312"/>
            <w:shd w:val="clear" w:color="auto" w:fill="0F172A"/>
          </w:tcPr>
          <w:p>
            <w:r/>
            <w:r>
              <w:rPr>
                <w:b/>
                <w:color w:val="FFFFFF"/>
                <w:sz w:val="18"/>
              </w:rPr>
              <w:t>Timing</w:t>
            </w:r>
          </w:p>
        </w:tc>
        <w:tc>
          <w:tcPr>
            <w:tcW w:type="dxa" w:w="3312"/>
            <w:shd w:val="clear" w:color="auto" w:fill="0F172A"/>
          </w:tcPr>
          <w:p>
            <w:r/>
            <w:r>
              <w:rPr>
                <w:b/>
                <w:color w:val="FFFFFF"/>
                <w:sz w:val="18"/>
              </w:rPr>
              <w:t>Work performed</w:t>
            </w:r>
          </w:p>
        </w:tc>
      </w:tr>
      <w:tr>
        <w:tc>
          <w:tcPr>
            <w:tcW w:type="dxa" w:w="3312"/>
          </w:tcPr>
          <w:p>
            <w:r/>
            <w:r>
              <w:rPr>
                <w:sz w:val="18"/>
              </w:rPr>
              <w:t>Cooling tune-up</w:t>
            </w:r>
          </w:p>
        </w:tc>
        <w:tc>
          <w:tcPr>
            <w:tcW w:type="dxa" w:w="3312"/>
          </w:tcPr>
          <w:p>
            <w:r/>
            <w:r>
              <w:rPr>
                <w:sz w:val="18"/>
              </w:rPr>
              <w:t>[Spring]</w:t>
            </w:r>
          </w:p>
        </w:tc>
        <w:tc>
          <w:tcPr>
            <w:tcW w:type="dxa" w:w="3312"/>
          </w:tcPr>
          <w:p>
            <w:r/>
            <w:r>
              <w:rPr>
                <w:sz w:val="18"/>
              </w:rPr>
              <w:t>Inspect and clean condenser coil; check refrigerant pressures; test capacitors and contactor; check condensate drain; check thermostat operation; inspect electrical connections; replace standard filter.</w:t>
            </w:r>
          </w:p>
        </w:tc>
      </w:tr>
      <w:tr>
        <w:tc>
          <w:tcPr>
            <w:tcW w:type="dxa" w:w="3312"/>
          </w:tcPr>
          <w:p>
            <w:r/>
            <w:r>
              <w:rPr>
                <w:sz w:val="18"/>
              </w:rPr>
              <w:t>Heating tune-up</w:t>
            </w:r>
          </w:p>
        </w:tc>
        <w:tc>
          <w:tcPr>
            <w:tcW w:type="dxa" w:w="3312"/>
          </w:tcPr>
          <w:p>
            <w:r/>
            <w:r>
              <w:rPr>
                <w:sz w:val="18"/>
              </w:rPr>
              <w:t>[Fall]</w:t>
            </w:r>
          </w:p>
        </w:tc>
        <w:tc>
          <w:tcPr>
            <w:tcW w:type="dxa" w:w="3312"/>
          </w:tcPr>
          <w:p>
            <w:r/>
            <w:r>
              <w:rPr>
                <w:sz w:val="18"/>
              </w:rPr>
              <w:t>Inspect burners and heat exchanger; test ignition and safety controls; check gas pressure (if applicable); inspect flue and venting; test carbon monoxide levels; replace standard filter.</w:t>
            </w:r>
          </w:p>
        </w:tc>
      </w:tr>
    </w:tbl>
    <w:p>
      <w:pPr>
        <w:spacing w:after="60"/>
      </w:pPr>
      <w:r>
        <w:rPr>
          <w:b w:val="0"/>
          <w:sz w:val="20"/>
        </w:rPr>
        <w:t>Each visit includes a written report of the equipment condition and any recommended repairs. Repairs are quoted separately and only carried out with the customer’s approval.</w:t>
      </w:r>
    </w:p>
    <w:p>
      <w:pPr>
        <w:spacing w:before="200" w:after="80"/>
      </w:pPr>
      <w:r>
        <w:rPr>
          <w:b/>
          <w:color w:val="0F172A"/>
          <w:sz w:val="24"/>
        </w:rPr>
        <w:t>5. Member benefits</w:t>
      </w:r>
    </w:p>
    <w:tbl>
      <w:tblPr>
        <w:tblStyle w:val="TableGrid"/>
        <w:tblW w:type="auto" w:w="0"/>
        <w:tblLook w:firstColumn="1" w:firstRow="1" w:lastColumn="0" w:lastRow="0" w:noHBand="0" w:noVBand="1" w:val="04A0"/>
      </w:tblPr>
      <w:tblGrid>
        <w:gridCol w:w="4968"/>
        <w:gridCol w:w="4968"/>
      </w:tblGrid>
      <w:tr>
        <w:tc>
          <w:tcPr>
            <w:tcW w:type="dxa" w:w="4968"/>
            <w:shd w:val="clear" w:color="auto" w:fill="0F172A"/>
          </w:tcPr>
          <w:p>
            <w:r/>
            <w:r>
              <w:rPr>
                <w:b/>
                <w:color w:val="FFFFFF"/>
                <w:sz w:val="18"/>
              </w:rPr>
              <w:t>Benefit</w:t>
            </w:r>
          </w:p>
        </w:tc>
        <w:tc>
          <w:tcPr>
            <w:tcW w:type="dxa" w:w="4968"/>
            <w:shd w:val="clear" w:color="auto" w:fill="0F172A"/>
          </w:tcPr>
          <w:p>
            <w:r/>
            <w:r>
              <w:rPr>
                <w:b/>
                <w:color w:val="FFFFFF"/>
                <w:sz w:val="18"/>
              </w:rPr>
              <w:t>Details</w:t>
            </w:r>
          </w:p>
        </w:tc>
      </w:tr>
      <w:tr>
        <w:tc>
          <w:tcPr>
            <w:tcW w:type="dxa" w:w="4968"/>
          </w:tcPr>
          <w:p>
            <w:r/>
            <w:r>
              <w:rPr>
                <w:sz w:val="18"/>
              </w:rPr>
              <w:t>Priority scheduling</w:t>
            </w:r>
          </w:p>
        </w:tc>
        <w:tc>
          <w:tcPr>
            <w:tcW w:type="dxa" w:w="4968"/>
          </w:tcPr>
          <w:p>
            <w:r/>
            <w:r>
              <w:rPr>
                <w:sz w:val="18"/>
              </w:rPr>
              <w:t>Members are booked ahead of non-members for service calls.</w:t>
            </w:r>
          </w:p>
        </w:tc>
      </w:tr>
      <w:tr>
        <w:tc>
          <w:tcPr>
            <w:tcW w:type="dxa" w:w="4968"/>
          </w:tcPr>
          <w:p>
            <w:r/>
            <w:r>
              <w:rPr>
                <w:sz w:val="18"/>
              </w:rPr>
              <w:t>Repair discount</w:t>
            </w:r>
          </w:p>
        </w:tc>
        <w:tc>
          <w:tcPr>
            <w:tcW w:type="dxa" w:w="4968"/>
          </w:tcPr>
          <w:p>
            <w:r/>
            <w:r>
              <w:rPr>
                <w:sz w:val="18"/>
              </w:rPr>
              <w:t>[e.g. 15]% off parts and labor for repairs on covered equipment.</w:t>
            </w:r>
          </w:p>
        </w:tc>
      </w:tr>
      <w:tr>
        <w:tc>
          <w:tcPr>
            <w:tcW w:type="dxa" w:w="4968"/>
          </w:tcPr>
          <w:p>
            <w:r/>
            <w:r>
              <w:rPr>
                <w:sz w:val="18"/>
              </w:rPr>
              <w:t>Diagnostic / trip fee</w:t>
            </w:r>
          </w:p>
        </w:tc>
        <w:tc>
          <w:tcPr>
            <w:tcW w:type="dxa" w:w="4968"/>
          </w:tcPr>
          <w:p>
            <w:r/>
            <w:r>
              <w:rPr>
                <w:sz w:val="18"/>
              </w:rPr>
              <w:t>[Waived / reduced to $X] for service calls on covered equipment.</w:t>
            </w:r>
          </w:p>
        </w:tc>
      </w:tr>
      <w:tr>
        <w:tc>
          <w:tcPr>
            <w:tcW w:type="dxa" w:w="4968"/>
          </w:tcPr>
          <w:p>
            <w:r/>
            <w:r>
              <w:rPr>
                <w:sz w:val="18"/>
              </w:rPr>
              <w:t>After-hours rate</w:t>
            </w:r>
          </w:p>
        </w:tc>
        <w:tc>
          <w:tcPr>
            <w:tcW w:type="dxa" w:w="4968"/>
          </w:tcPr>
          <w:p>
            <w:r/>
            <w:r>
              <w:rPr>
                <w:sz w:val="18"/>
              </w:rPr>
              <w:t>[No overtime charge / reduced overtime rate] for members.</w:t>
            </w:r>
          </w:p>
        </w:tc>
      </w:tr>
      <w:tr>
        <w:tc>
          <w:tcPr>
            <w:tcW w:type="dxa" w:w="4968"/>
          </w:tcPr>
          <w:p>
            <w:r/>
            <w:r>
              <w:rPr>
                <w:sz w:val="18"/>
              </w:rPr>
              <w:t>Other</w:t>
            </w:r>
          </w:p>
        </w:tc>
        <w:tc>
          <w:tcPr>
            <w:tcW w:type="dxa" w:w="4968"/>
          </w:tcPr>
          <w:p>
            <w:r/>
            <w:r>
              <w:rPr>
                <w:sz w:val="18"/>
              </w:rPr>
              <w:t>[e.g. Transferable to new homeowner]</w:t>
            </w:r>
          </w:p>
        </w:tc>
      </w:tr>
    </w:tbl>
    <w:p>
      <w:pPr>
        <w:spacing w:before="200" w:after="80"/>
      </w:pPr>
      <w:r>
        <w:rPr>
          <w:b/>
          <w:color w:val="0F172A"/>
          <w:sz w:val="24"/>
        </w:rPr>
        <w:t>6. Fees and payment</w:t>
      </w:r>
    </w:p>
    <w:tbl>
      <w:tblPr>
        <w:tblStyle w:val="TableGrid"/>
        <w:tblW w:type="auto" w:w="0"/>
        <w:tblLook w:firstColumn="1" w:firstRow="1" w:lastColumn="0" w:lastRow="0" w:noHBand="0" w:noVBand="1" w:val="04A0"/>
      </w:tblPr>
      <w:tblGrid>
        <w:gridCol w:w="4968"/>
        <w:gridCol w:w="4968"/>
      </w:tblGrid>
      <w:tr>
        <w:tc>
          <w:tcPr>
            <w:tcW w:type="dxa" w:w="4968"/>
            <w:shd w:val="clear" w:color="auto" w:fill="0F172A"/>
          </w:tcPr>
          <w:p>
            <w:r/>
            <w:r>
              <w:rPr>
                <w:b/>
                <w:color w:val="FFFFFF"/>
                <w:sz w:val="18"/>
              </w:rPr>
              <w:t>Item</w:t>
            </w:r>
          </w:p>
        </w:tc>
        <w:tc>
          <w:tcPr>
            <w:tcW w:type="dxa" w:w="4968"/>
            <w:shd w:val="clear" w:color="auto" w:fill="0F172A"/>
          </w:tcPr>
          <w:p>
            <w:r/>
            <w:r>
              <w:rPr>
                <w:b/>
                <w:color w:val="FFFFFF"/>
                <w:sz w:val="18"/>
              </w:rPr>
              <w:t>Amount</w:t>
            </w:r>
          </w:p>
        </w:tc>
      </w:tr>
      <w:tr>
        <w:tc>
          <w:tcPr>
            <w:tcW w:type="dxa" w:w="4968"/>
          </w:tcPr>
          <w:p>
            <w:r/>
            <w:r>
              <w:rPr>
                <w:sz w:val="18"/>
              </w:rPr>
              <w:t>Annual fee (paid in full)</w:t>
            </w:r>
          </w:p>
        </w:tc>
        <w:tc>
          <w:tcPr>
            <w:tcW w:type="dxa" w:w="4968"/>
          </w:tcPr>
          <w:p>
            <w:r/>
            <w:r>
              <w:rPr>
                <w:sz w:val="18"/>
              </w:rPr>
              <w:t>$[Amount]</w:t>
            </w:r>
          </w:p>
        </w:tc>
      </w:tr>
      <w:tr>
        <w:tc>
          <w:tcPr>
            <w:tcW w:type="dxa" w:w="4968"/>
          </w:tcPr>
          <w:p>
            <w:r/>
            <w:r>
              <w:rPr>
                <w:sz w:val="18"/>
              </w:rPr>
              <w:t>OR monthly fee</w:t>
            </w:r>
          </w:p>
        </w:tc>
        <w:tc>
          <w:tcPr>
            <w:tcW w:type="dxa" w:w="4968"/>
          </w:tcPr>
          <w:p>
            <w:r/>
            <w:r>
              <w:rPr>
                <w:sz w:val="18"/>
              </w:rPr>
              <w:t>$[Amount] per month for 12 months</w:t>
            </w:r>
          </w:p>
        </w:tc>
      </w:tr>
      <w:tr>
        <w:tc>
          <w:tcPr>
            <w:tcW w:type="dxa" w:w="4968"/>
          </w:tcPr>
          <w:p>
            <w:r/>
            <w:r>
              <w:rPr>
                <w:sz w:val="18"/>
              </w:rPr>
              <w:t>Additional equipment (each)</w:t>
            </w:r>
          </w:p>
        </w:tc>
        <w:tc>
          <w:tcPr>
            <w:tcW w:type="dxa" w:w="4968"/>
          </w:tcPr>
          <w:p>
            <w:r/>
            <w:r>
              <w:rPr>
                <w:sz w:val="18"/>
              </w:rPr>
              <w:t>$[Amount]</w:t>
            </w:r>
          </w:p>
        </w:tc>
      </w:tr>
      <w:tr>
        <w:tc>
          <w:tcPr>
            <w:tcW w:type="dxa" w:w="4968"/>
          </w:tcPr>
          <w:p>
            <w:r/>
            <w:r>
              <w:rPr>
                <w:sz w:val="18"/>
              </w:rPr>
              <w:t>Payment method</w:t>
            </w:r>
          </w:p>
        </w:tc>
        <w:tc>
          <w:tcPr>
            <w:tcW w:type="dxa" w:w="4968"/>
          </w:tcPr>
          <w:p>
            <w:r/>
            <w:r>
              <w:rPr>
                <w:sz w:val="18"/>
              </w:rPr>
              <w:t>[Card on file / bank transfer / check]</w:t>
            </w:r>
          </w:p>
        </w:tc>
      </w:tr>
    </w:tbl>
    <w:p>
      <w:pPr>
        <w:spacing w:after="60"/>
      </w:pPr>
      <w:r>
        <w:rPr>
          <w:b w:val="0"/>
          <w:sz w:val="20"/>
        </w:rPr>
        <w:t>Prices exclude applicable taxes unless stated. Fees are due [at signing / on the 1st of each month].</w:t>
      </w:r>
    </w:p>
    <w:p>
      <w:pPr>
        <w:spacing w:before="200" w:after="80"/>
      </w:pPr>
      <w:r>
        <w:rPr>
          <w:b/>
          <w:color w:val="0F172A"/>
          <w:sz w:val="24"/>
        </w:rPr>
        <w:t>7. What is not covered</w:t>
      </w:r>
    </w:p>
    <w:p>
      <w:pPr>
        <w:spacing w:after="60"/>
      </w:pPr>
      <w:r>
        <w:rPr>
          <w:b w:val="0"/>
          <w:sz w:val="20"/>
        </w:rPr>
        <w:t>Unless stated above, this agreement does not cover: parts and repairs; refrigerant beyond routine top-up checks; ductwork cleaning or repair; equipment replacement; damage from misuse, power surges, flooding or other external causes; equipment not listed in Section 3; work required by code changes; and access requiring removal of finished walls or ceilings.</w:t>
      </w:r>
    </w:p>
    <w:p>
      <w:pPr>
        <w:spacing w:before="200" w:after="80"/>
      </w:pPr>
      <w:r>
        <w:rPr>
          <w:b/>
          <w:color w:val="0F172A"/>
          <w:sz w:val="24"/>
        </w:rPr>
        <w:t>8. Customer responsibilities</w:t>
      </w:r>
    </w:p>
    <w:p>
      <w:pPr>
        <w:spacing w:after="60"/>
      </w:pPr>
      <w:r>
        <w:rPr>
          <w:b w:val="0"/>
          <w:sz w:val="20"/>
        </w:rPr>
        <w:t>The customer will provide safe access to the equipment at scheduled times, keep the area around outdoor units clear, change filters between visits if agreed, and report problems promptly. Missed appointments without [24] hours’ notice may count as a completed visit.</w:t>
      </w:r>
    </w:p>
    <w:p>
      <w:pPr>
        <w:spacing w:before="200" w:after="80"/>
      </w:pPr>
      <w:r>
        <w:rPr>
          <w:b/>
          <w:color w:val="0F172A"/>
          <w:sz w:val="24"/>
        </w:rPr>
        <w:t>9. Cancellation and refunds</w:t>
      </w:r>
    </w:p>
    <w:p>
      <w:pPr>
        <w:spacing w:after="60"/>
      </w:pPr>
      <w:r>
        <w:rPr>
          <w:b w:val="0"/>
          <w:sz w:val="20"/>
        </w:rPr>
        <w:t>Either party may cancel with [30] days’ written notice. If the customer cancels, the contractor will refund the unused portion of any prepaid fee, less the standard price of visits already completed and any discounts already received. [Adjust to your policy and local law.]</w:t>
      </w:r>
    </w:p>
    <w:p>
      <w:pPr>
        <w:spacing w:before="200" w:after="80"/>
      </w:pPr>
      <w:r>
        <w:rPr>
          <w:b/>
          <w:color w:val="0F172A"/>
          <w:sz w:val="24"/>
        </w:rPr>
        <w:t>10. Liability and warranty</w:t>
      </w:r>
    </w:p>
    <w:p>
      <w:pPr>
        <w:spacing w:after="60"/>
      </w:pPr>
      <w:r>
        <w:rPr>
          <w:b w:val="0"/>
          <w:sz w:val="20"/>
        </w:rPr>
        <w:t>The contractor will perform services in a professional manner using qualified technicians. Manufacturer warranties remain the responsibility of the manufacturer. The contractor’s liability is limited to the amount paid under this agreement, except where the law does not allow such a limit. [Have this section reviewed by a local attorney.]</w:t>
      </w:r>
    </w:p>
    <w:p>
      <w:pPr>
        <w:spacing w:before="200" w:after="80"/>
      </w:pPr>
      <w:r>
        <w:rPr>
          <w:b/>
          <w:color w:val="0F172A"/>
          <w:sz w:val="24"/>
        </w:rPr>
        <w:t>11. Signatures</w:t>
      </w:r>
    </w:p>
    <w:tbl>
      <w:tblPr>
        <w:tblStyle w:val="TableGrid"/>
        <w:tblW w:type="auto" w:w="0"/>
        <w:tblLook w:firstColumn="1" w:firstRow="1" w:lastColumn="0" w:lastRow="0" w:noHBand="0" w:noVBand="1" w:val="04A0"/>
      </w:tblPr>
      <w:tblGrid>
        <w:gridCol w:w="4968"/>
        <w:gridCol w:w="4968"/>
      </w:tblGrid>
      <w:tr>
        <w:tc>
          <w:tcPr>
            <w:tcW w:type="dxa" w:w="4968"/>
            <w:shd w:val="clear" w:color="auto" w:fill="0F172A"/>
          </w:tcPr>
          <w:p>
            <w:r/>
            <w:r>
              <w:rPr>
                <w:b/>
                <w:color w:val="FFFFFF"/>
                <w:sz w:val="18"/>
              </w:rPr>
              <w:t>Contractor</w:t>
            </w:r>
          </w:p>
        </w:tc>
        <w:tc>
          <w:tcPr>
            <w:tcW w:type="dxa" w:w="4968"/>
            <w:shd w:val="clear" w:color="auto" w:fill="0F172A"/>
          </w:tcPr>
          <w:p>
            <w:r/>
            <w:r>
              <w:rPr>
                <w:b/>
                <w:color w:val="FFFFFF"/>
                <w:sz w:val="18"/>
              </w:rPr>
              <w:t>Customer</w:t>
            </w:r>
          </w:p>
        </w:tc>
      </w:tr>
      <w:tr>
        <w:tc>
          <w:tcPr>
            <w:tcW w:type="dxa" w:w="4968"/>
          </w:tcPr>
          <w:p>
            <w:r/>
            <w:r>
              <w:rPr>
                <w:sz w:val="18"/>
              </w:rPr>
              <w:t>Name: ____________________________</w:t>
            </w:r>
          </w:p>
        </w:tc>
        <w:tc>
          <w:tcPr>
            <w:tcW w:type="dxa" w:w="4968"/>
          </w:tcPr>
          <w:p>
            <w:r/>
            <w:r>
              <w:rPr>
                <w:sz w:val="18"/>
              </w:rPr>
              <w:t>Name: ____________________________</w:t>
            </w:r>
          </w:p>
        </w:tc>
      </w:tr>
      <w:tr>
        <w:tc>
          <w:tcPr>
            <w:tcW w:type="dxa" w:w="4968"/>
          </w:tcPr>
          <w:p>
            <w:r/>
            <w:r>
              <w:rPr>
                <w:sz w:val="18"/>
              </w:rPr>
              <w:t>Signature: ________________________</w:t>
            </w:r>
          </w:p>
        </w:tc>
        <w:tc>
          <w:tcPr>
            <w:tcW w:type="dxa" w:w="4968"/>
          </w:tcPr>
          <w:p>
            <w:r/>
            <w:r>
              <w:rPr>
                <w:sz w:val="18"/>
              </w:rPr>
              <w:t>Signature: ________________________</w:t>
            </w:r>
          </w:p>
        </w:tc>
      </w:tr>
      <w:tr>
        <w:tc>
          <w:tcPr>
            <w:tcW w:type="dxa" w:w="4968"/>
          </w:tcPr>
          <w:p>
            <w:r/>
            <w:r>
              <w:rPr>
                <w:sz w:val="18"/>
              </w:rPr>
              <w:t>Date: ____________________________</w:t>
            </w:r>
          </w:p>
        </w:tc>
        <w:tc>
          <w:tcPr>
            <w:tcW w:type="dxa" w:w="4968"/>
          </w:tcPr>
          <w:p>
            <w:r/>
            <w:r>
              <w:rPr>
                <w:sz w:val="18"/>
              </w:rPr>
              <w:t>Date: ____________________________</w:t>
            </w:r>
          </w:p>
        </w:tc>
      </w:tr>
    </w:tbl>
    <w:p>
      <w:pPr>
        <w:spacing w:after="60"/>
      </w:pPr>
      <w:r>
        <w:rPr>
          <w:b w:val="0"/>
          <w:i/>
          <w:sz w:val="16"/>
        </w:rPr>
        <w:t>This template is provided by ScopeRivo (scoperivo.com) for general information only and is not legal advice. Laws on service contracts, automatic renewals and consumer cancellations differ by state and country. Review it with a qualified professional before use.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